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A5A0">
      <w:pPr>
        <w:jc w:val="center"/>
        <w:rPr>
          <w:b/>
          <w:sz w:val="28"/>
          <w:szCs w:val="28"/>
        </w:rPr>
      </w:pPr>
      <w:r>
        <w:rPr>
          <w:rStyle w:val="9"/>
          <w:rFonts w:hint="eastAsia"/>
          <w:b/>
          <w:color w:val="323232"/>
          <w:sz w:val="28"/>
          <w:szCs w:val="28"/>
        </w:rPr>
        <w:t>理学院教学质量优秀奖评选指标体系及程序</w:t>
      </w:r>
    </w:p>
    <w:p w14:paraId="6C75560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一、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参评条件</w:t>
      </w:r>
    </w:p>
    <w:p w14:paraId="30BC7E93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1、积极承担本科教学任务，本学年的教学工作量达到学校规定的满额教学工作量。</w:t>
      </w:r>
    </w:p>
    <w:p w14:paraId="45BD4209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2、教学内容符合人才培养要求，合理运用恰当的教学手段和教学方法，教学信息量适中，教学效果好；上一年度教学质量考核排名后30%者不得申报。</w:t>
      </w:r>
    </w:p>
    <w:p w14:paraId="2DD916BE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3、积极开展课程建设、专业建设、实验室建设等基本建设工作，努力提高授课艺术，精心组织各个教学环节，认真批改作业，按时辅导答疑。</w:t>
      </w:r>
    </w:p>
    <w:p w14:paraId="7DB2D30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4、积极开展教学研究，认真研究教学规律、教学方法，积极进行教学改革。</w:t>
      </w:r>
    </w:p>
    <w:p w14:paraId="2197E39E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5、热爱教育事业，具有奉献精神，在政治思想、道德品质、文明修养、治学态度等方面都能严以律己，为人师表，无教学事故。</w:t>
      </w:r>
    </w:p>
    <w:p w14:paraId="451D774B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6、热爱学生，从政治思想、道德品质、学习态度、学习方法、班风建设、帮助就业等各方面关心学生，对学生严格要求，结合教学认真开展教书育人工作，引导学生端正学习态度，培养学生良好道德素质、治学精神和创新能力贯穿在教学环节中，在学风建设方面有成效。</w:t>
      </w:r>
    </w:p>
    <w:p w14:paraId="1F2F94A0">
      <w:pPr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7、青年教师（40周岁以下）必须参加学校组织的青年教师课堂大赛、实践教学大赛、多媒体课件大赛及优秀教案大赛等，并获三等奖及以上。</w:t>
      </w:r>
    </w:p>
    <w:p w14:paraId="7B09751E">
      <w:pPr>
        <w:rPr>
          <w:rFonts w:ascii="仿宋" w:hAnsi="仿宋" w:eastAsia="仿宋" w:cs="宋体"/>
          <w:color w:val="323232"/>
          <w:kern w:val="0"/>
          <w:sz w:val="24"/>
          <w:szCs w:val="24"/>
        </w:rPr>
      </w:pPr>
    </w:p>
    <w:p w14:paraId="2A2C1C54">
      <w:pPr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8、需在学院内部上公开课一次。</w:t>
      </w:r>
    </w:p>
    <w:p w14:paraId="752D286B">
      <w:pPr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</w:p>
    <w:p w14:paraId="12DAA3C9">
      <w:pPr>
        <w:widowControl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宋体"/>
          <w:color w:val="323232"/>
          <w:kern w:val="0"/>
          <w:sz w:val="18"/>
          <w:szCs w:val="18"/>
        </w:rPr>
        <w:t>二 、评分指标</w:t>
      </w:r>
    </w:p>
    <w:bookmarkEnd w:id="0"/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43D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019CF568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学生领导同行评价（15%）</w:t>
            </w:r>
          </w:p>
        </w:tc>
        <w:tc>
          <w:tcPr>
            <w:tcW w:w="4148" w:type="dxa"/>
          </w:tcPr>
          <w:p w14:paraId="44F1257F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本学年度两个学期学生、领导、同行评价结果的平均分折合。</w:t>
            </w:r>
          </w:p>
        </w:tc>
      </w:tr>
      <w:tr w14:paraId="6541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B24E465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教学工作规范</w:t>
            </w:r>
            <w:r>
              <w:rPr>
                <w:rFonts w:ascii="仿宋_GB2312" w:hAnsi="微软雅黑" w:eastAsia="仿宋_GB2312"/>
                <w:color w:val="323232"/>
              </w:rPr>
              <w:t>(</w:t>
            </w:r>
            <w:r>
              <w:rPr>
                <w:rFonts w:hint="eastAsia" w:ascii="仿宋_GB2312" w:hAnsi="微软雅黑" w:eastAsia="仿宋_GB2312"/>
                <w:color w:val="323232"/>
              </w:rPr>
              <w:t>15%</w:t>
            </w:r>
            <w:r>
              <w:rPr>
                <w:rFonts w:ascii="仿宋_GB2312" w:hAnsi="微软雅黑" w:eastAsia="仿宋_GB2312"/>
                <w:color w:val="323232"/>
              </w:rPr>
              <w:t>)</w:t>
            </w:r>
          </w:p>
        </w:tc>
        <w:tc>
          <w:tcPr>
            <w:tcW w:w="4148" w:type="dxa"/>
          </w:tcPr>
          <w:p w14:paraId="61CF9138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对授课计划、教案、教师教学自查表、学生评价表、教学工作手册、辅导答疑等规范程度给出综合评价（评价标准见相关文件）。</w:t>
            </w:r>
          </w:p>
        </w:tc>
      </w:tr>
      <w:tr w14:paraId="663C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D16E28B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教学改革分值标准(</w:t>
            </w:r>
            <w:r>
              <w:rPr>
                <w:rFonts w:ascii="仿宋_GB2312" w:hAnsi="微软雅黑" w:eastAsia="仿宋_GB2312"/>
                <w:color w:val="323232"/>
              </w:rPr>
              <w:t>10</w:t>
            </w:r>
            <w:r>
              <w:rPr>
                <w:rFonts w:hint="eastAsia" w:ascii="仿宋_GB2312" w:hAnsi="微软雅黑" w:eastAsia="仿宋_GB2312"/>
                <w:color w:val="323232"/>
              </w:rPr>
              <w:t>%</w:t>
            </w:r>
            <w:r>
              <w:rPr>
                <w:rFonts w:ascii="仿宋_GB2312" w:hAnsi="微软雅黑" w:eastAsia="仿宋_GB2312"/>
                <w:color w:val="323232"/>
              </w:rPr>
              <w:t>)</w:t>
            </w:r>
          </w:p>
        </w:tc>
        <w:tc>
          <w:tcPr>
            <w:tcW w:w="4148" w:type="dxa"/>
          </w:tcPr>
          <w:p w14:paraId="41908A44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(</w:t>
            </w:r>
            <w:r>
              <w:rPr>
                <w:rFonts w:ascii="仿宋_GB2312" w:hAnsi="微软雅黑" w:eastAsia="仿宋_GB2312"/>
                <w:color w:val="323232"/>
              </w:rPr>
              <w:t>1)</w:t>
            </w:r>
            <w:r>
              <w:rPr>
                <w:rFonts w:hint="eastAsia" w:ascii="仿宋_GB2312" w:hAnsi="微软雅黑" w:eastAsia="仿宋_GB2312"/>
                <w:color w:val="323232"/>
              </w:rPr>
              <w:t>教学成果奖：省级一等奖10分、二等奖8分、三等奖6分。［主持人系数为1，前三位参加人系数为0.6，其它人为0.4］。校级一等奖7分、二等奖4分、三等奖2分。［主持人系数为1，参加人得到证书者系数为0.6，其它人为0.4］。</w:t>
            </w:r>
          </w:p>
          <w:p w14:paraId="1138277B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（2）教改项目：省级教改5分，校级教改2分。［主持人系数为1，前三位参加人系数为0.6，其它人为0.4］</w:t>
            </w:r>
          </w:p>
        </w:tc>
      </w:tr>
      <w:tr w14:paraId="74E7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C21ED69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课堂教学质量(</w:t>
            </w:r>
            <w:r>
              <w:rPr>
                <w:rFonts w:ascii="仿宋_GB2312" w:hAnsi="微软雅黑" w:eastAsia="仿宋_GB2312"/>
                <w:color w:val="323232"/>
              </w:rPr>
              <w:t>3</w:t>
            </w:r>
            <w:r>
              <w:rPr>
                <w:rFonts w:hint="eastAsia" w:ascii="仿宋_GB2312" w:hAnsi="微软雅黑" w:eastAsia="仿宋_GB2312"/>
                <w:color w:val="323232"/>
              </w:rPr>
              <w:t>0%</w:t>
            </w:r>
            <w:r>
              <w:rPr>
                <w:rFonts w:ascii="仿宋_GB2312" w:hAnsi="微软雅黑" w:eastAsia="仿宋_GB2312"/>
                <w:color w:val="323232"/>
              </w:rPr>
              <w:t>)</w:t>
            </w:r>
          </w:p>
        </w:tc>
        <w:tc>
          <w:tcPr>
            <w:tcW w:w="4148" w:type="dxa"/>
          </w:tcPr>
          <w:p w14:paraId="27999E48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由学院组织教师组对申报教师进行听课，对每位教师课堂教学质量给出综合评价（评价标准见《课堂教学质量评价标准》）</w:t>
            </w:r>
          </w:p>
        </w:tc>
      </w:tr>
      <w:tr w14:paraId="765D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0169FABE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专业、课程及教材建设(</w:t>
            </w:r>
            <w:r>
              <w:rPr>
                <w:rFonts w:ascii="仿宋_GB2312" w:hAnsi="微软雅黑" w:eastAsia="仿宋_GB2312"/>
                <w:color w:val="323232"/>
              </w:rPr>
              <w:t>10</w:t>
            </w:r>
            <w:r>
              <w:rPr>
                <w:rFonts w:hint="eastAsia" w:ascii="仿宋_GB2312" w:hAnsi="微软雅黑" w:eastAsia="仿宋_GB2312"/>
                <w:color w:val="323232"/>
              </w:rPr>
              <w:t>%</w:t>
            </w:r>
            <w:r>
              <w:rPr>
                <w:rFonts w:ascii="仿宋_GB2312" w:hAnsi="微软雅黑" w:eastAsia="仿宋_GB2312"/>
                <w:color w:val="323232"/>
              </w:rPr>
              <w:t>)</w:t>
            </w:r>
          </w:p>
        </w:tc>
        <w:tc>
          <w:tcPr>
            <w:tcW w:w="4148" w:type="dxa"/>
          </w:tcPr>
          <w:p w14:paraId="2E184B7D">
            <w:pPr>
              <w:widowControl/>
              <w:spacing w:before="100" w:beforeAutospacing="1" w:after="100" w:afterAutospacing="1"/>
              <w:jc w:val="left"/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省级以上项目10分，校级5分，其他2分。［负责人系数为1，前三名系数为0.6，其他参加人为0.4］。</w:t>
            </w:r>
          </w:p>
        </w:tc>
      </w:tr>
      <w:tr w14:paraId="416B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1B0892F6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科研促进教学分值标准（10%）</w:t>
            </w:r>
          </w:p>
        </w:tc>
        <w:tc>
          <w:tcPr>
            <w:tcW w:w="4148" w:type="dxa"/>
          </w:tcPr>
          <w:p w14:paraId="6145297E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指导学生参加竞赛A类获得国家（国际）一等奖10分，国家（国际）二等奖8分，国家（国际）三等奖及省一等奖以上6分，二等奖4分，三等奖2分。B类竞赛分值减半。</w:t>
            </w:r>
          </w:p>
        </w:tc>
      </w:tr>
      <w:tr w14:paraId="3742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407C75E0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评优小组（10%）</w:t>
            </w:r>
          </w:p>
        </w:tc>
        <w:tc>
          <w:tcPr>
            <w:tcW w:w="4148" w:type="dxa"/>
          </w:tcPr>
          <w:p w14:paraId="5D4E77D0">
            <w:pPr>
              <w:rPr>
                <w:rFonts w:ascii="仿宋_GB2312" w:hAnsi="微软雅黑" w:eastAsia="仿宋_GB2312"/>
                <w:color w:val="323232"/>
              </w:rPr>
            </w:pPr>
            <w:r>
              <w:rPr>
                <w:rFonts w:hint="eastAsia" w:ascii="仿宋_GB2312" w:hAnsi="微软雅黑" w:eastAsia="仿宋_GB2312"/>
                <w:color w:val="323232"/>
              </w:rPr>
              <w:t>对教师进行的综合评价</w:t>
            </w:r>
          </w:p>
        </w:tc>
      </w:tr>
    </w:tbl>
    <w:p w14:paraId="44246F54">
      <w:pPr>
        <w:rPr>
          <w:rFonts w:ascii="微软雅黑" w:hAnsi="微软雅黑" w:eastAsia="微软雅黑" w:cs="宋体"/>
          <w:color w:val="323232"/>
          <w:kern w:val="0"/>
          <w:sz w:val="18"/>
          <w:szCs w:val="18"/>
        </w:rPr>
      </w:pPr>
    </w:p>
    <w:p w14:paraId="7233B879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说明：教学成果奖为近5年，教学改革、专业、课程及教材建设为近3年，指导学生竞赛为上一年。</w:t>
      </w:r>
    </w:p>
    <w:p w14:paraId="3954CE67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三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评选程序</w:t>
      </w:r>
    </w:p>
    <w:p w14:paraId="5F5D2832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1</w:t>
      </w:r>
      <w:r>
        <w:rPr>
          <w:rFonts w:ascii="仿宋" w:hAnsi="仿宋" w:eastAsia="仿宋" w:cs="宋体"/>
          <w:color w:val="323232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  <w:lang w:eastAsia="zh-CN"/>
        </w:rPr>
        <w:t>在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学院教务办通知规定时间内申报；</w:t>
      </w:r>
    </w:p>
    <w:p w14:paraId="7966EF88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2</w:t>
      </w:r>
      <w:r>
        <w:rPr>
          <w:rFonts w:ascii="仿宋" w:hAnsi="仿宋" w:eastAsia="仿宋" w:cs="宋体"/>
          <w:color w:val="323232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学院组织相关教师听课、教学资料检查打分；</w:t>
      </w:r>
    </w:p>
    <w:p w14:paraId="2D43C237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3</w:t>
      </w:r>
      <w:r>
        <w:rPr>
          <w:rFonts w:ascii="仿宋" w:hAnsi="仿宋" w:eastAsia="仿宋" w:cs="宋体"/>
          <w:color w:val="323232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教务办计算分值；</w:t>
      </w:r>
    </w:p>
    <w:p w14:paraId="6221D3C9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4</w:t>
      </w:r>
      <w:r>
        <w:rPr>
          <w:rFonts w:ascii="仿宋" w:hAnsi="仿宋" w:eastAsia="仿宋" w:cs="宋体"/>
          <w:color w:val="323232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院务会投票或讨论确定。</w:t>
      </w:r>
    </w:p>
    <w:p w14:paraId="339CF9AA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5</w:t>
      </w:r>
      <w:r>
        <w:rPr>
          <w:rFonts w:ascii="仿宋" w:hAnsi="仿宋" w:eastAsia="仿宋" w:cs="宋体"/>
          <w:color w:val="323232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>公示，上报教务处。</w:t>
      </w:r>
    </w:p>
    <w:p w14:paraId="4657E8DE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</w:p>
    <w:p w14:paraId="4B5A3E5A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color w:val="323232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23232"/>
          <w:kern w:val="0"/>
          <w:sz w:val="24"/>
          <w:szCs w:val="24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2E4"/>
    <w:rsid w:val="00051939"/>
    <w:rsid w:val="00146EF9"/>
    <w:rsid w:val="00274E19"/>
    <w:rsid w:val="002A2DE9"/>
    <w:rsid w:val="002F7C29"/>
    <w:rsid w:val="00377AFC"/>
    <w:rsid w:val="00382851"/>
    <w:rsid w:val="00390F96"/>
    <w:rsid w:val="0049665A"/>
    <w:rsid w:val="004B38ED"/>
    <w:rsid w:val="004E50E3"/>
    <w:rsid w:val="00515FEC"/>
    <w:rsid w:val="005734F6"/>
    <w:rsid w:val="00644E2C"/>
    <w:rsid w:val="007170A3"/>
    <w:rsid w:val="007D27B1"/>
    <w:rsid w:val="00811A60"/>
    <w:rsid w:val="008E07EF"/>
    <w:rsid w:val="008E4F8F"/>
    <w:rsid w:val="009679BF"/>
    <w:rsid w:val="00A02235"/>
    <w:rsid w:val="00C04229"/>
    <w:rsid w:val="00C73B20"/>
    <w:rsid w:val="00E442E4"/>
    <w:rsid w:val="00E73AEB"/>
    <w:rsid w:val="00E85397"/>
    <w:rsid w:val="00EE47E5"/>
    <w:rsid w:val="00F877AF"/>
    <w:rsid w:val="33E930C6"/>
    <w:rsid w:val="65A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1089</Words>
  <Characters>1135</Characters>
  <Lines>8</Lines>
  <Paragraphs>2</Paragraphs>
  <TotalTime>24</TotalTime>
  <ScaleCrop>false</ScaleCrop>
  <LinksUpToDate>false</LinksUpToDate>
  <CharactersWithSpaces>1187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2019-05-06T01:57:00Z</dcterms:created>
  <dc:creator>Xing</dc:creator>
  <cp:lastModifiedBy>晴儿</cp:lastModifiedBy>
  <cp:lastPrinted>2019-10-14T09:19:00Z</cp:lastPrinted>
  <dcterms:modified xsi:type="dcterms:W3CDTF">2025-04-08T07:28:44Z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eyJoZGlkIjoiYTIxYzhlNTM4Njg3NjFmNmZhMTQ2MmE0MDA2NTIyNTAiLCJ1c2VySWQiOiIyNDQ5Njc0MjIifQ==</vt:lpwstr>
  </property>
  <property fmtid="{D5CDD505-2E9C-101B-9397-08002B2CF9AE}" pid="4" name="ICV">
    <vt:lpwstr>3F6FDD084ADB4BC89F0BB1A7685D9468_12</vt:lpwstr>
  </property>
</Properties>
</file>